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215C5" w14:textId="77777777" w:rsidR="007C3A80" w:rsidRDefault="007C3A80" w:rsidP="007C3A80">
      <w:pPr>
        <w:pStyle w:val="NormalWeb"/>
        <w:spacing w:before="86" w:beforeAutospacing="0" w:after="0" w:afterAutospacing="0"/>
        <w:jc w:val="center"/>
        <w:textAlignment w:val="baseline"/>
        <w:rPr>
          <w:rFonts w:eastAsia="MS PGothic"/>
          <w:b/>
          <w:bCs/>
          <w:color w:val="000000" w:themeColor="text1"/>
          <w:kern w:val="24"/>
        </w:rPr>
      </w:pPr>
      <w:r w:rsidRPr="007C3A80">
        <w:rPr>
          <w:rFonts w:eastAsia="MS PGothic"/>
          <w:b/>
          <w:bCs/>
          <w:color w:val="000000" w:themeColor="text1"/>
          <w:kern w:val="24"/>
        </w:rPr>
        <w:t>Tax Treatment of “Qualified Disaster Payments”</w:t>
      </w:r>
    </w:p>
    <w:p w14:paraId="3039E3C9" w14:textId="66B2524E" w:rsidR="007C3A80" w:rsidRDefault="007C3A80" w:rsidP="007C3A80">
      <w:pPr>
        <w:pStyle w:val="NormalWeb"/>
        <w:spacing w:before="86" w:beforeAutospacing="0" w:after="0" w:afterAutospacing="0"/>
        <w:jc w:val="center"/>
        <w:textAlignment w:val="baseline"/>
        <w:rPr>
          <w:rFonts w:eastAsia="MS PGothic"/>
          <w:bCs/>
          <w:color w:val="000000" w:themeColor="text1"/>
          <w:kern w:val="24"/>
        </w:rPr>
      </w:pPr>
      <w:r>
        <w:rPr>
          <w:rFonts w:eastAsia="MS PGothic"/>
          <w:bCs/>
          <w:color w:val="000000" w:themeColor="text1"/>
          <w:kern w:val="24"/>
        </w:rPr>
        <w:t>By Gerard H. Schreiber, Jr., CPA</w:t>
      </w:r>
      <w:r w:rsidR="005E4F00">
        <w:rPr>
          <w:rFonts w:eastAsia="MS PGothic"/>
          <w:bCs/>
          <w:color w:val="000000" w:themeColor="text1"/>
          <w:kern w:val="24"/>
        </w:rPr>
        <w:t>,</w:t>
      </w:r>
      <w:r>
        <w:rPr>
          <w:rFonts w:eastAsia="MS PGothic"/>
          <w:bCs/>
          <w:color w:val="000000" w:themeColor="text1"/>
          <w:kern w:val="24"/>
        </w:rPr>
        <w:t xml:space="preserve"> Valrie Chambers, PhD, CPA</w:t>
      </w:r>
      <w:r w:rsidR="005E4F00">
        <w:rPr>
          <w:rFonts w:eastAsia="MS PGothic"/>
          <w:bCs/>
          <w:color w:val="000000" w:themeColor="text1"/>
          <w:kern w:val="24"/>
        </w:rPr>
        <w:t>, and Elizabeth G. Brennan, CPA</w:t>
      </w:r>
    </w:p>
    <w:p w14:paraId="174A6FA8" w14:textId="0374A828" w:rsidR="005B181C" w:rsidRPr="005B181C" w:rsidRDefault="005B181C" w:rsidP="007C3A80">
      <w:pPr>
        <w:pStyle w:val="NormalWeb"/>
        <w:spacing w:before="86" w:beforeAutospacing="0" w:after="0" w:afterAutospacing="0"/>
        <w:jc w:val="center"/>
        <w:textAlignment w:val="baseline"/>
        <w:rPr>
          <w:rFonts w:eastAsia="MS PGothic"/>
          <w:b/>
          <w:i/>
          <w:iCs/>
          <w:color w:val="FF0000"/>
          <w:kern w:val="24"/>
          <w:u w:val="single"/>
        </w:rPr>
      </w:pPr>
      <w:r w:rsidRPr="005B181C">
        <w:rPr>
          <w:rFonts w:eastAsia="MS PGothic"/>
          <w:b/>
          <w:i/>
          <w:iCs/>
          <w:color w:val="FF0000"/>
          <w:kern w:val="24"/>
          <w:u w:val="single"/>
        </w:rPr>
        <w:t>(Updated Ju</w:t>
      </w:r>
      <w:r w:rsidR="00BB7B3A">
        <w:rPr>
          <w:rFonts w:eastAsia="MS PGothic"/>
          <w:b/>
          <w:i/>
          <w:iCs/>
          <w:color w:val="FF0000"/>
          <w:kern w:val="24"/>
          <w:u w:val="single"/>
        </w:rPr>
        <w:t>ly 10</w:t>
      </w:r>
      <w:r w:rsidRPr="005B181C">
        <w:rPr>
          <w:rFonts w:eastAsia="MS PGothic"/>
          <w:b/>
          <w:i/>
          <w:iCs/>
          <w:color w:val="FF0000"/>
          <w:kern w:val="24"/>
          <w:u w:val="single"/>
        </w:rPr>
        <w:t xml:space="preserve">, 2024) </w:t>
      </w:r>
    </w:p>
    <w:p w14:paraId="1D10034F" w14:textId="77777777" w:rsidR="005B181C" w:rsidRDefault="005B181C" w:rsidP="007C3A80">
      <w:pPr>
        <w:pStyle w:val="NormalWeb"/>
        <w:spacing w:before="86" w:beforeAutospacing="0" w:after="0" w:afterAutospacing="0"/>
        <w:jc w:val="center"/>
        <w:textAlignment w:val="baseline"/>
        <w:rPr>
          <w:rFonts w:eastAsia="MS PGothic"/>
          <w:bCs/>
          <w:color w:val="000000" w:themeColor="text1"/>
          <w:kern w:val="24"/>
        </w:rPr>
      </w:pPr>
    </w:p>
    <w:p w14:paraId="4E31A44C" w14:textId="760930BC" w:rsidR="00793EDB" w:rsidRDefault="00B05934" w:rsidP="00793EDB">
      <w:pPr>
        <w:pStyle w:val="NoSpacing"/>
      </w:pPr>
      <w:r>
        <w:t xml:space="preserve">Hurricane Beryl </w:t>
      </w:r>
      <w:r w:rsidR="00A479FE">
        <w:t>caused</w:t>
      </w:r>
      <w:r w:rsidR="0009151C">
        <w:t xml:space="preserve"> unprecedented </w:t>
      </w:r>
      <w:r w:rsidR="00444C8C">
        <w:t xml:space="preserve">flooding and </w:t>
      </w:r>
      <w:r w:rsidR="0009151C">
        <w:t xml:space="preserve">damage not seen before </w:t>
      </w:r>
      <w:r>
        <w:t>this early in</w:t>
      </w:r>
      <w:r w:rsidR="00E21216">
        <w:t xml:space="preserve"> Hurricane season.</w:t>
      </w:r>
    </w:p>
    <w:p w14:paraId="6178D02C" w14:textId="77777777" w:rsidR="00793EDB" w:rsidRDefault="00793EDB" w:rsidP="00793EDB">
      <w:pPr>
        <w:pStyle w:val="NoSpacing"/>
      </w:pPr>
    </w:p>
    <w:p w14:paraId="72D71CA5" w14:textId="77777777" w:rsidR="00793EDB" w:rsidRDefault="00793EDB" w:rsidP="00793EDB">
      <w:pPr>
        <w:pStyle w:val="NoSpacing"/>
      </w:pPr>
      <w:r>
        <w:t xml:space="preserve">Individuals and businesses </w:t>
      </w:r>
      <w:r w:rsidR="00BF7D7B">
        <w:t xml:space="preserve">want </w:t>
      </w:r>
      <w:r>
        <w:t xml:space="preserve">to help </w:t>
      </w:r>
      <w:r w:rsidR="00BA68B1">
        <w:t xml:space="preserve">individuals affected by the disasters </w:t>
      </w:r>
      <w:r>
        <w:t xml:space="preserve">and </w:t>
      </w:r>
      <w:r w:rsidR="00BF7D7B">
        <w:t xml:space="preserve">may </w:t>
      </w:r>
      <w:r w:rsidR="00DF0260">
        <w:t>not</w:t>
      </w:r>
      <w:r>
        <w:t xml:space="preserve"> realize there are “Qualified Disaster Payments” that allow disaster victims not to </w:t>
      </w:r>
      <w:r w:rsidR="00CC5FAD">
        <w:t>include as income</w:t>
      </w:r>
      <w:r>
        <w:t xml:space="preserve"> </w:t>
      </w:r>
      <w:r w:rsidR="009B2C46">
        <w:t>some</w:t>
      </w:r>
      <w:r>
        <w:t xml:space="preserve"> assistance payments they receive.</w:t>
      </w:r>
    </w:p>
    <w:p w14:paraId="4172DF07" w14:textId="77777777" w:rsidR="00793EDB" w:rsidRDefault="00793EDB" w:rsidP="00793EDB">
      <w:pPr>
        <w:pStyle w:val="NoSpacing"/>
      </w:pPr>
    </w:p>
    <w:p w14:paraId="6EE2D766" w14:textId="77777777" w:rsidR="00943AA4" w:rsidRDefault="002712DF" w:rsidP="00793EDB">
      <w:pPr>
        <w:pStyle w:val="NoSpacing"/>
        <w:rPr>
          <w:rFonts w:eastAsia="MS PGothic"/>
          <w:bCs/>
          <w:color w:val="000000" w:themeColor="text1"/>
          <w:kern w:val="24"/>
        </w:rPr>
      </w:pPr>
      <w:r w:rsidRPr="00C66C79">
        <w:rPr>
          <w:rFonts w:eastAsia="MS PGothic"/>
          <w:bCs/>
          <w:color w:val="000000" w:themeColor="text1"/>
          <w:kern w:val="24"/>
        </w:rPr>
        <w:t>The Victims of Terrorism Tax Relief Act of 2001 added Section 139 to the Internal Revenue Code, excluding from income qualified disaster relief payments to individuals.</w:t>
      </w:r>
      <w:r w:rsidR="009F3BDD">
        <w:rPr>
          <w:rFonts w:eastAsia="MS PGothic"/>
          <w:bCs/>
          <w:color w:val="000000" w:themeColor="text1"/>
          <w:kern w:val="24"/>
        </w:rPr>
        <w:t xml:space="preserve"> </w:t>
      </w:r>
      <w:r w:rsidR="00206E8F">
        <w:rPr>
          <w:rFonts w:eastAsia="MS PGothic"/>
          <w:bCs/>
          <w:color w:val="000000" w:themeColor="text1"/>
          <w:kern w:val="24"/>
        </w:rPr>
        <w:t>The various components of Section 139 are listed below.</w:t>
      </w:r>
    </w:p>
    <w:p w14:paraId="0F6E4551" w14:textId="77777777" w:rsidR="00943AA4" w:rsidRDefault="00943AA4" w:rsidP="00793EDB">
      <w:pPr>
        <w:pStyle w:val="NoSpacing"/>
        <w:rPr>
          <w:rFonts w:eastAsia="MS PGothic"/>
          <w:bCs/>
          <w:color w:val="000000" w:themeColor="text1"/>
          <w:kern w:val="24"/>
        </w:rPr>
      </w:pPr>
    </w:p>
    <w:p w14:paraId="1465DF36" w14:textId="77777777" w:rsidR="00943AA4" w:rsidRDefault="009F3BDD" w:rsidP="00793EDB">
      <w:pPr>
        <w:pStyle w:val="NoSpacing"/>
        <w:rPr>
          <w:rFonts w:eastAsia="MS PGothic"/>
          <w:bCs/>
          <w:color w:val="000000" w:themeColor="text1"/>
          <w:kern w:val="24"/>
        </w:rPr>
      </w:pPr>
      <w:r>
        <w:rPr>
          <w:rFonts w:eastAsia="MS PGothic"/>
          <w:bCs/>
          <w:color w:val="000000" w:themeColor="text1"/>
          <w:kern w:val="24"/>
        </w:rPr>
        <w:t>Section 139(a) provides gross income does not include amounts received by an individual for a qualified disaster payment.</w:t>
      </w:r>
    </w:p>
    <w:p w14:paraId="2330E998" w14:textId="77777777" w:rsidR="00943AA4" w:rsidRDefault="00943AA4" w:rsidP="00793EDB">
      <w:pPr>
        <w:pStyle w:val="NoSpacing"/>
        <w:rPr>
          <w:rFonts w:eastAsia="MS PGothic"/>
          <w:bCs/>
          <w:color w:val="000000" w:themeColor="text1"/>
          <w:kern w:val="24"/>
        </w:rPr>
      </w:pPr>
    </w:p>
    <w:p w14:paraId="267E30EE" w14:textId="77777777" w:rsidR="0009151C" w:rsidRDefault="009F3BDD" w:rsidP="00793EDB">
      <w:pPr>
        <w:pStyle w:val="NoSpacing"/>
        <w:rPr>
          <w:rFonts w:eastAsia="MS PGothic"/>
          <w:bCs/>
          <w:color w:val="000000" w:themeColor="text1"/>
          <w:kern w:val="24"/>
        </w:rPr>
      </w:pPr>
      <w:r>
        <w:rPr>
          <w:rFonts w:eastAsia="MS PGothic"/>
          <w:bCs/>
          <w:color w:val="000000" w:themeColor="text1"/>
          <w:kern w:val="24"/>
        </w:rPr>
        <w:t>Section 139(b)</w:t>
      </w:r>
      <w:r w:rsidR="00943AA4">
        <w:rPr>
          <w:rFonts w:eastAsia="MS PGothic"/>
          <w:bCs/>
          <w:color w:val="000000" w:themeColor="text1"/>
          <w:kern w:val="24"/>
        </w:rPr>
        <w:t xml:space="preserve"> defines “qualified disaster payments” as amounts paid for the benefit of an individual to:</w:t>
      </w:r>
    </w:p>
    <w:p w14:paraId="5227E397" w14:textId="77777777" w:rsidR="00206E8F" w:rsidRDefault="00206E8F" w:rsidP="00793EDB">
      <w:pPr>
        <w:pStyle w:val="NoSpacing"/>
        <w:rPr>
          <w:rFonts w:eastAsia="MS PGothic"/>
          <w:bCs/>
          <w:color w:val="000000" w:themeColor="text1"/>
          <w:kern w:val="24"/>
        </w:rPr>
      </w:pPr>
    </w:p>
    <w:p w14:paraId="5F52FC7C" w14:textId="77777777" w:rsidR="00943AA4" w:rsidRDefault="00943AA4" w:rsidP="00943AA4">
      <w:pPr>
        <w:pStyle w:val="NoSpacing"/>
        <w:numPr>
          <w:ilvl w:val="0"/>
          <w:numId w:val="3"/>
        </w:numPr>
      </w:pPr>
      <w:r>
        <w:t xml:space="preserve">Reimburse or pay </w:t>
      </w:r>
      <w:r w:rsidRPr="00206E8F">
        <w:rPr>
          <w:b/>
          <w:i/>
          <w:u w:val="single"/>
        </w:rPr>
        <w:t>reasonable and necessary</w:t>
      </w:r>
      <w:r>
        <w:t xml:space="preserve"> </w:t>
      </w:r>
      <w:r w:rsidR="00206E8F">
        <w:t>personal, family, living, or funeral expenses incurred as a result of a disaster</w:t>
      </w:r>
    </w:p>
    <w:p w14:paraId="0DACF8B7" w14:textId="77777777" w:rsidR="00206E8F" w:rsidRDefault="00206E8F" w:rsidP="00943AA4">
      <w:pPr>
        <w:pStyle w:val="NoSpacing"/>
        <w:numPr>
          <w:ilvl w:val="0"/>
          <w:numId w:val="3"/>
        </w:numPr>
      </w:pPr>
      <w:r>
        <w:t xml:space="preserve">Reimburse or pay </w:t>
      </w:r>
      <w:r w:rsidRPr="00206E8F">
        <w:rPr>
          <w:b/>
          <w:i/>
          <w:u w:val="single"/>
        </w:rPr>
        <w:t>reasonable and necessary</w:t>
      </w:r>
      <w:r>
        <w:rPr>
          <w:b/>
          <w:i/>
          <w:u w:val="single"/>
        </w:rPr>
        <w:t xml:space="preserve"> </w:t>
      </w:r>
      <w:r>
        <w:t>expenses to repair or rehabilitate a personal residence or repair or replacement of contents to the extent that the need for such is due to a disaster</w:t>
      </w:r>
    </w:p>
    <w:p w14:paraId="3FCE4BE3" w14:textId="77777777" w:rsidR="00206E8F" w:rsidRDefault="00206E8F" w:rsidP="00943AA4">
      <w:pPr>
        <w:pStyle w:val="NoSpacing"/>
        <w:numPr>
          <w:ilvl w:val="0"/>
          <w:numId w:val="3"/>
        </w:numPr>
      </w:pPr>
      <w:r>
        <w:t>Payments by a Federal, State, or local government in connection with a qualified disaster in order to promote the general welfare.</w:t>
      </w:r>
    </w:p>
    <w:p w14:paraId="68422146" w14:textId="77777777" w:rsidR="00206E8F" w:rsidRDefault="00206E8F" w:rsidP="00206E8F">
      <w:pPr>
        <w:pStyle w:val="NoSpacing"/>
      </w:pPr>
    </w:p>
    <w:p w14:paraId="4C036427" w14:textId="77777777" w:rsidR="00206E8F" w:rsidRDefault="00206E8F" w:rsidP="00206E8F">
      <w:pPr>
        <w:pStyle w:val="NoSpacing"/>
      </w:pPr>
      <w:r>
        <w:t xml:space="preserve">Section 139 </w:t>
      </w:r>
      <w:r w:rsidR="00A0092D">
        <w:t>(c)</w:t>
      </w:r>
      <w:r>
        <w:t xml:space="preserve"> defines the term “qualified disaster” as:</w:t>
      </w:r>
    </w:p>
    <w:p w14:paraId="39261152" w14:textId="77777777" w:rsidR="00CC7544" w:rsidRDefault="00CC7544" w:rsidP="00206E8F">
      <w:pPr>
        <w:pStyle w:val="NoSpacing"/>
      </w:pPr>
    </w:p>
    <w:p w14:paraId="047358E0" w14:textId="77777777" w:rsidR="00206E8F" w:rsidRDefault="00206E8F" w:rsidP="00206E8F">
      <w:pPr>
        <w:pStyle w:val="NoSpacing"/>
        <w:numPr>
          <w:ilvl w:val="0"/>
          <w:numId w:val="4"/>
        </w:numPr>
      </w:pPr>
      <w:r>
        <w:t>A disaster resulting from terrorist or military action</w:t>
      </w:r>
    </w:p>
    <w:p w14:paraId="582533EF" w14:textId="77777777" w:rsidR="00206E8F" w:rsidRDefault="00CC7544" w:rsidP="00206E8F">
      <w:pPr>
        <w:pStyle w:val="NoSpacing"/>
        <w:numPr>
          <w:ilvl w:val="0"/>
          <w:numId w:val="4"/>
        </w:numPr>
      </w:pPr>
      <w:r>
        <w:t>A Federally declared disaster</w:t>
      </w:r>
    </w:p>
    <w:p w14:paraId="26463842" w14:textId="77777777" w:rsidR="00CC7544" w:rsidRDefault="00CC7544" w:rsidP="00206E8F">
      <w:pPr>
        <w:pStyle w:val="NoSpacing"/>
        <w:numPr>
          <w:ilvl w:val="0"/>
          <w:numId w:val="4"/>
        </w:numPr>
      </w:pPr>
      <w:r>
        <w:t>A disaster resulting from any event the Secretary determines to be of a catastrophic nature</w:t>
      </w:r>
    </w:p>
    <w:p w14:paraId="6EE90D0C" w14:textId="77777777" w:rsidR="00CC7544" w:rsidRDefault="00CC7544" w:rsidP="00206E8F">
      <w:pPr>
        <w:pStyle w:val="NoSpacing"/>
        <w:numPr>
          <w:ilvl w:val="0"/>
          <w:numId w:val="4"/>
        </w:numPr>
      </w:pPr>
      <w:r>
        <w:t>A disaster determined by applicable Federal, State, or local authority that warrants assistance from Federal, State, or local authority governmental agencies.</w:t>
      </w:r>
    </w:p>
    <w:p w14:paraId="7DA673BA" w14:textId="77777777" w:rsidR="007C3A80" w:rsidRDefault="007C3A80" w:rsidP="00793EDB">
      <w:pPr>
        <w:pStyle w:val="NoSpacing"/>
      </w:pPr>
    </w:p>
    <w:p w14:paraId="75B295D6" w14:textId="77777777" w:rsidR="001F7F33" w:rsidRDefault="002712DF" w:rsidP="001F7F33">
      <w:pPr>
        <w:pStyle w:val="NoSpacing"/>
        <w:rPr>
          <w:rFonts w:eastAsia="MS PGothic"/>
          <w:bCs/>
          <w:iCs/>
          <w:kern w:val="24"/>
        </w:rPr>
      </w:pPr>
      <w:r>
        <w:t>Revenue Ruling 2003-12 (</w:t>
      </w:r>
      <w:hyperlink r:id="rId5" w:history="1">
        <w:r w:rsidR="00E52669" w:rsidRPr="00B36EC3">
          <w:rPr>
            <w:rStyle w:val="Hyperlink"/>
          </w:rPr>
          <w:t>https://www.irs.gov/pub/irs-drop/rr-03-12.pdf</w:t>
        </w:r>
      </w:hyperlink>
      <w:r w:rsidR="00E52669">
        <w:t>) offers guidance indicating individuals who are disaster victims will generally not to have to pay income tax on assistance payments they receive.</w:t>
      </w:r>
      <w:r w:rsidR="009E205D">
        <w:t xml:space="preserve"> The revenue ruling provides t</w:t>
      </w:r>
      <w:r w:rsidR="00413F64" w:rsidRPr="00413F64">
        <w:rPr>
          <w:rFonts w:eastAsia="MS PGothic"/>
          <w:bCs/>
          <w:iCs/>
          <w:kern w:val="24"/>
        </w:rPr>
        <w:t xml:space="preserve">axpayers in a </w:t>
      </w:r>
      <w:r w:rsidR="0070293D">
        <w:rPr>
          <w:rFonts w:eastAsia="MS PGothic"/>
          <w:bCs/>
          <w:iCs/>
          <w:kern w:val="24"/>
        </w:rPr>
        <w:t>Federally</w:t>
      </w:r>
      <w:r w:rsidR="00413F64" w:rsidRPr="00413F64">
        <w:rPr>
          <w:rFonts w:eastAsia="MS PGothic"/>
          <w:bCs/>
          <w:iCs/>
          <w:kern w:val="24"/>
        </w:rPr>
        <w:t xml:space="preserve"> declared disaster area who receive grants from state programs, charitable organizations or employers to cover medical, transportation, or temporary housing expenses do not include these grants in their income.</w:t>
      </w:r>
    </w:p>
    <w:p w14:paraId="5F2B28E7" w14:textId="77777777" w:rsidR="001F7F33" w:rsidRDefault="001F7F33" w:rsidP="00864B99">
      <w:pPr>
        <w:pStyle w:val="NoSpacing"/>
      </w:pPr>
    </w:p>
    <w:p w14:paraId="15CD10FE" w14:textId="77777777" w:rsidR="003150DA" w:rsidRDefault="003F0D69" w:rsidP="003150DA">
      <w:pPr>
        <w:pStyle w:val="NoSpacing"/>
      </w:pPr>
      <w:r>
        <w:lastRenderedPageBreak/>
        <w:t xml:space="preserve">Prior to the issuance of this </w:t>
      </w:r>
      <w:r w:rsidR="004838C3">
        <w:t xml:space="preserve">2003 </w:t>
      </w:r>
      <w:r>
        <w:t xml:space="preserve">revenue ruling, there was only a 1953 revenue ruling on this subject (Rev.Rul. 131, 1953-2 C.B. 112). This revenue ruling concluded that payments made by an employer to employees who were victims of a disaster do not come “within the concept of gross income.” </w:t>
      </w:r>
    </w:p>
    <w:p w14:paraId="7711A967" w14:textId="77777777" w:rsidR="00BB5F9C" w:rsidRDefault="00BB5F9C" w:rsidP="003150DA">
      <w:pPr>
        <w:pStyle w:val="NoSpacing"/>
      </w:pPr>
    </w:p>
    <w:p w14:paraId="7B9CB90B" w14:textId="77777777" w:rsidR="00BB5F9C" w:rsidRDefault="00BB5F9C" w:rsidP="003150DA">
      <w:pPr>
        <w:pStyle w:val="NoSpacing"/>
      </w:pPr>
      <w:r>
        <w:t>It is important</w:t>
      </w:r>
      <w:r w:rsidR="00750EFB">
        <w:t xml:space="preserve"> to note</w:t>
      </w:r>
      <w:r>
        <w:t xml:space="preserve"> the following terms in interpreting the relief available to disaster victims:</w:t>
      </w:r>
    </w:p>
    <w:p w14:paraId="4673D91A" w14:textId="77777777" w:rsidR="00750EFB" w:rsidRDefault="00750EFB" w:rsidP="003150DA">
      <w:pPr>
        <w:pStyle w:val="NoSpacing"/>
      </w:pPr>
    </w:p>
    <w:p w14:paraId="655C88E5" w14:textId="77777777" w:rsidR="00BB5F9C" w:rsidRDefault="00BB5F9C" w:rsidP="00BB5F9C">
      <w:pPr>
        <w:pStyle w:val="NoSpacing"/>
        <w:numPr>
          <w:ilvl w:val="0"/>
          <w:numId w:val="5"/>
        </w:numPr>
      </w:pPr>
      <w:r>
        <w:t>Qualified disaster payments</w:t>
      </w:r>
    </w:p>
    <w:p w14:paraId="29FC99DA" w14:textId="77777777" w:rsidR="00BB5F9C" w:rsidRDefault="00BB5F9C" w:rsidP="00BB5F9C">
      <w:pPr>
        <w:pStyle w:val="NoSpacing"/>
        <w:numPr>
          <w:ilvl w:val="0"/>
          <w:numId w:val="5"/>
        </w:numPr>
      </w:pPr>
      <w:r>
        <w:t>Reasonable and necessary personal, family, living, or funeral expenses</w:t>
      </w:r>
    </w:p>
    <w:p w14:paraId="5AA6FFCF" w14:textId="77777777" w:rsidR="00BB5F9C" w:rsidRDefault="00BB5F9C" w:rsidP="00BB5F9C">
      <w:pPr>
        <w:pStyle w:val="NoSpacing"/>
        <w:numPr>
          <w:ilvl w:val="0"/>
          <w:numId w:val="5"/>
        </w:numPr>
      </w:pPr>
      <w:r>
        <w:t>Reasonable and necessary expenses for repairing a personal residence or contents</w:t>
      </w:r>
    </w:p>
    <w:p w14:paraId="53B08A34" w14:textId="77777777" w:rsidR="00750EFB" w:rsidRDefault="00750EFB" w:rsidP="00BB5F9C">
      <w:pPr>
        <w:pStyle w:val="NoSpacing"/>
        <w:numPr>
          <w:ilvl w:val="0"/>
          <w:numId w:val="5"/>
        </w:numPr>
      </w:pPr>
      <w:r>
        <w:t>Other disaster payments for a Federal, State, or local authority (FEMA payments).</w:t>
      </w:r>
    </w:p>
    <w:p w14:paraId="36B2DD36" w14:textId="77777777" w:rsidR="00750EFB" w:rsidRDefault="00750EFB" w:rsidP="00750EFB">
      <w:pPr>
        <w:pStyle w:val="NoSpacing"/>
      </w:pPr>
    </w:p>
    <w:p w14:paraId="06DD1ED0" w14:textId="77777777" w:rsidR="00BB5F9C" w:rsidRDefault="00750EFB" w:rsidP="003150DA">
      <w:pPr>
        <w:pStyle w:val="NoSpacing"/>
      </w:pPr>
      <w:r>
        <w:t>This is a means of assisting disaster victims, not a blank check for unlimited spending without tax consequences.</w:t>
      </w:r>
    </w:p>
    <w:p w14:paraId="6BF3BBE5" w14:textId="77777777" w:rsidR="009F6B11" w:rsidRDefault="009F6B11" w:rsidP="003150DA">
      <w:pPr>
        <w:pStyle w:val="NoSpacing"/>
      </w:pPr>
    </w:p>
    <w:p w14:paraId="007C3216" w14:textId="77777777" w:rsidR="009F6B11" w:rsidRDefault="009F6B11" w:rsidP="003150DA">
      <w:pPr>
        <w:pStyle w:val="NoSpacing"/>
      </w:pPr>
      <w:r>
        <w:t xml:space="preserve">This </w:t>
      </w:r>
      <w:r w:rsidR="008A32CA">
        <w:t xml:space="preserve">2003 </w:t>
      </w:r>
      <w:r>
        <w:t>revenue ruling and the applicable sections of Code Section 139 provide a means for employers to be able to assist their employees in restoring normality in their lives and also provide assurance to disaster victims there will not be income tax c</w:t>
      </w:r>
      <w:r w:rsidR="002A123F">
        <w:t>onsequences</w:t>
      </w:r>
      <w:r>
        <w:t xml:space="preserve"> on the qualified disaster payments they receive.</w:t>
      </w:r>
    </w:p>
    <w:p w14:paraId="379A2D11" w14:textId="77777777" w:rsidR="004838C3" w:rsidRDefault="004838C3" w:rsidP="003150DA">
      <w:pPr>
        <w:pStyle w:val="NoSpacing"/>
      </w:pPr>
    </w:p>
    <w:p w14:paraId="30BFAC0F" w14:textId="77777777" w:rsidR="00585B5F" w:rsidRDefault="00585B5F" w:rsidP="003150DA">
      <w:pPr>
        <w:pStyle w:val="NoSpacing"/>
      </w:pPr>
    </w:p>
    <w:p w14:paraId="44389A4F" w14:textId="77777777" w:rsidR="004838C3" w:rsidRPr="00E9168C" w:rsidRDefault="004838C3" w:rsidP="003150DA">
      <w:pPr>
        <w:pStyle w:val="NoSpacing"/>
      </w:pPr>
    </w:p>
    <w:p w14:paraId="4A84A0E4" w14:textId="77777777" w:rsidR="00E34ED4" w:rsidRPr="003150DA" w:rsidRDefault="00E34ED4" w:rsidP="001E5EFC">
      <w:pPr>
        <w:pStyle w:val="NoSpacing"/>
        <w:jc w:val="center"/>
        <w:rPr>
          <w:b/>
          <w:spacing w:val="-1"/>
        </w:rPr>
      </w:pPr>
    </w:p>
    <w:p w14:paraId="5D1D1CA6" w14:textId="77777777" w:rsidR="00E34ED4" w:rsidRPr="003150DA" w:rsidRDefault="00E34ED4" w:rsidP="001E5EFC">
      <w:pPr>
        <w:pStyle w:val="NoSpacing"/>
        <w:jc w:val="center"/>
        <w:rPr>
          <w:b/>
        </w:rPr>
      </w:pPr>
    </w:p>
    <w:p w14:paraId="40E0F3A2" w14:textId="77777777" w:rsidR="00413F64" w:rsidRPr="00413F64" w:rsidRDefault="00413F64" w:rsidP="001E5EFC">
      <w:pPr>
        <w:pStyle w:val="NoSpacing"/>
        <w:jc w:val="center"/>
      </w:pPr>
      <w:r w:rsidRPr="003150DA">
        <w:rPr>
          <w:rFonts w:eastAsia="MS PGothic"/>
          <w:b/>
          <w:bCs/>
          <w:kern w:val="24"/>
        </w:rPr>
        <w:br/>
      </w:r>
    </w:p>
    <w:p w14:paraId="10EF53D6" w14:textId="77777777" w:rsidR="002712DF" w:rsidRPr="00413F64" w:rsidRDefault="002712DF" w:rsidP="00793EDB">
      <w:pPr>
        <w:pStyle w:val="NoSpacing"/>
      </w:pPr>
    </w:p>
    <w:p w14:paraId="4870053E" w14:textId="77777777" w:rsidR="00E52669" w:rsidRDefault="00E52669" w:rsidP="00793EDB">
      <w:pPr>
        <w:pStyle w:val="NoSpacing"/>
      </w:pPr>
    </w:p>
    <w:p w14:paraId="0C8606D3" w14:textId="77777777" w:rsidR="007C3A80" w:rsidRDefault="007C3A80" w:rsidP="00C66C79">
      <w:pPr>
        <w:pStyle w:val="NormalWeb"/>
        <w:spacing w:before="86" w:beforeAutospacing="0" w:after="0" w:afterAutospacing="0"/>
        <w:textAlignment w:val="baseline"/>
        <w:rPr>
          <w:rFonts w:eastAsia="MS PGothic"/>
          <w:bCs/>
          <w:color w:val="000000" w:themeColor="text1"/>
          <w:kern w:val="24"/>
        </w:rPr>
      </w:pPr>
    </w:p>
    <w:sectPr w:rsidR="007C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A4588"/>
    <w:multiLevelType w:val="multilevel"/>
    <w:tmpl w:val="46C2F908"/>
    <w:lvl w:ilvl="0">
      <w:start w:val="1"/>
      <w:numFmt w:val="decimal"/>
      <w:lvlText w:val="(%1)"/>
      <w:lvlJc w:val="left"/>
      <w:pPr>
        <w:tabs>
          <w:tab w:val="left" w:pos="43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91BDF"/>
    <w:multiLevelType w:val="hybridMultilevel"/>
    <w:tmpl w:val="0714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B59F7"/>
    <w:multiLevelType w:val="hybridMultilevel"/>
    <w:tmpl w:val="61AEC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12B5F"/>
    <w:multiLevelType w:val="hybridMultilevel"/>
    <w:tmpl w:val="1B7A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662E"/>
    <w:multiLevelType w:val="hybridMultilevel"/>
    <w:tmpl w:val="5BD6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205972">
    <w:abstractNumId w:val="3"/>
  </w:num>
  <w:num w:numId="2" w16cid:durableId="1068502932">
    <w:abstractNumId w:val="0"/>
  </w:num>
  <w:num w:numId="3" w16cid:durableId="852493574">
    <w:abstractNumId w:val="4"/>
  </w:num>
  <w:num w:numId="4" w16cid:durableId="957491343">
    <w:abstractNumId w:val="2"/>
  </w:num>
  <w:num w:numId="5" w16cid:durableId="3520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79"/>
    <w:rsid w:val="0009151C"/>
    <w:rsid w:val="00115897"/>
    <w:rsid w:val="00196B43"/>
    <w:rsid w:val="001E5EFC"/>
    <w:rsid w:val="001F7F33"/>
    <w:rsid w:val="00206E8F"/>
    <w:rsid w:val="002551D7"/>
    <w:rsid w:val="002712DF"/>
    <w:rsid w:val="002A123F"/>
    <w:rsid w:val="002C6CB1"/>
    <w:rsid w:val="003150DA"/>
    <w:rsid w:val="003F0D69"/>
    <w:rsid w:val="00413F64"/>
    <w:rsid w:val="00444C8C"/>
    <w:rsid w:val="004838C3"/>
    <w:rsid w:val="004A2859"/>
    <w:rsid w:val="00511977"/>
    <w:rsid w:val="00526184"/>
    <w:rsid w:val="00585B5F"/>
    <w:rsid w:val="00592C59"/>
    <w:rsid w:val="005A22ED"/>
    <w:rsid w:val="005A726D"/>
    <w:rsid w:val="005B181C"/>
    <w:rsid w:val="005E4F00"/>
    <w:rsid w:val="006272A7"/>
    <w:rsid w:val="006B5BE0"/>
    <w:rsid w:val="006E4898"/>
    <w:rsid w:val="0070293D"/>
    <w:rsid w:val="00703B26"/>
    <w:rsid w:val="00750EFB"/>
    <w:rsid w:val="00793EDB"/>
    <w:rsid w:val="007C3A80"/>
    <w:rsid w:val="00864B99"/>
    <w:rsid w:val="008A32CA"/>
    <w:rsid w:val="008B5B86"/>
    <w:rsid w:val="00943AA4"/>
    <w:rsid w:val="009B2C46"/>
    <w:rsid w:val="009E205D"/>
    <w:rsid w:val="009F3BDD"/>
    <w:rsid w:val="009F6B11"/>
    <w:rsid w:val="00A0092D"/>
    <w:rsid w:val="00A479FE"/>
    <w:rsid w:val="00A8154A"/>
    <w:rsid w:val="00A93FD0"/>
    <w:rsid w:val="00B05934"/>
    <w:rsid w:val="00B07A35"/>
    <w:rsid w:val="00B53CBF"/>
    <w:rsid w:val="00BA68B1"/>
    <w:rsid w:val="00BB5F9C"/>
    <w:rsid w:val="00BB7B3A"/>
    <w:rsid w:val="00BC52C9"/>
    <w:rsid w:val="00BF7D7B"/>
    <w:rsid w:val="00C478B7"/>
    <w:rsid w:val="00C6174C"/>
    <w:rsid w:val="00C66C79"/>
    <w:rsid w:val="00CC5FAD"/>
    <w:rsid w:val="00CC7544"/>
    <w:rsid w:val="00CF6074"/>
    <w:rsid w:val="00D109A2"/>
    <w:rsid w:val="00DD1FCC"/>
    <w:rsid w:val="00DF0260"/>
    <w:rsid w:val="00E21216"/>
    <w:rsid w:val="00E34ED4"/>
    <w:rsid w:val="00E52669"/>
    <w:rsid w:val="00E9168C"/>
    <w:rsid w:val="00EF6D8C"/>
    <w:rsid w:val="00F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ADA9"/>
  <w15:chartTrackingRefBased/>
  <w15:docId w15:val="{8678ED1E-2F69-4AD9-9091-13150B3F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C7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793E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26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66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06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E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s.gov/pub/irs-drop/rr-03-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Schreiber</cp:lastModifiedBy>
  <cp:revision>4</cp:revision>
  <cp:lastPrinted>2019-07-06T19:41:00Z</cp:lastPrinted>
  <dcterms:created xsi:type="dcterms:W3CDTF">2024-07-10T08:04:00Z</dcterms:created>
  <dcterms:modified xsi:type="dcterms:W3CDTF">2024-07-10T08:05:00Z</dcterms:modified>
</cp:coreProperties>
</file>